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A2BD4">
      <w:pPr>
        <w:keepNext w:val="0"/>
        <w:keepLines w:val="0"/>
        <w:pageBreakBefore w:val="0"/>
        <w:widowControl w:val="0"/>
        <w:kinsoku/>
        <w:wordWrap/>
        <w:overflowPunct/>
        <w:topLinePunct w:val="0"/>
        <w:autoSpaceDE/>
        <w:autoSpaceDN/>
        <w:bidi w:val="0"/>
        <w:adjustRightInd/>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市投控公司项目谋划及谋转储</w:t>
      </w:r>
    </w:p>
    <w:p w14:paraId="21A9FC87">
      <w:pPr>
        <w:keepNext w:val="0"/>
        <w:keepLines w:val="0"/>
        <w:pageBreakBefore w:val="0"/>
        <w:widowControl w:val="0"/>
        <w:kinsoku/>
        <w:wordWrap/>
        <w:overflowPunct/>
        <w:topLinePunct w:val="0"/>
        <w:autoSpaceDE/>
        <w:autoSpaceDN/>
        <w:bidi w:val="0"/>
        <w:adjustRightInd/>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管理实施细则</w:t>
      </w:r>
    </w:p>
    <w:p w14:paraId="12145065">
      <w:pPr>
        <w:pStyle w:val="6"/>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both"/>
        <w:textAlignment w:val="auto"/>
        <w:rPr>
          <w:rFonts w:hint="default" w:ascii="Times New Roman" w:hAnsi="Times New Roman" w:eastAsia="仿宋_GB2312" w:cs="Times New Roman"/>
          <w:sz w:val="32"/>
          <w:szCs w:val="32"/>
          <w:highlight w:val="none"/>
        </w:rPr>
      </w:pPr>
    </w:p>
    <w:p w14:paraId="11C3CE5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napToGrid w:val="0"/>
          <w:color w:val="000000"/>
          <w:kern w:val="0"/>
          <w:sz w:val="32"/>
          <w:szCs w:val="32"/>
          <w:lang w:val="en-US" w:eastAsia="zh-CN"/>
        </w:rPr>
        <w:t>一、</w:t>
      </w:r>
      <w:r>
        <w:rPr>
          <w:rFonts w:hint="default" w:ascii="Times New Roman" w:hAnsi="Times New Roman" w:eastAsia="黑体" w:cs="Times New Roman"/>
          <w:sz w:val="32"/>
          <w:szCs w:val="32"/>
          <w:highlight w:val="none"/>
          <w:lang w:val="en-US" w:eastAsia="zh-CN"/>
        </w:rPr>
        <w:t>总体要求</w:t>
      </w:r>
    </w:p>
    <w:p w14:paraId="2A0BE00A">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为贯彻落实国资委及产控集团</w:t>
      </w:r>
      <w:r>
        <w:rPr>
          <w:rFonts w:hint="default" w:ascii="Times New Roman" w:hAnsi="Times New Roman" w:eastAsia="仿宋_GB2312" w:cs="Times New Roman"/>
          <w:sz w:val="32"/>
          <w:szCs w:val="32"/>
          <w:highlight w:val="none"/>
          <w:lang w:val="en-US" w:eastAsia="zh-CN"/>
        </w:rPr>
        <w:t>关于投资工作</w:t>
      </w:r>
      <w:r>
        <w:rPr>
          <w:rFonts w:hint="eastAsia" w:ascii="Times New Roman" w:hAnsi="Times New Roman" w:eastAsia="仿宋_GB2312" w:cs="Times New Roman"/>
          <w:sz w:val="32"/>
          <w:szCs w:val="32"/>
          <w:highlight w:val="none"/>
          <w:lang w:val="en-US" w:eastAsia="zh-CN"/>
        </w:rPr>
        <w:t>的相关要求，加</w:t>
      </w:r>
      <w:r>
        <w:rPr>
          <w:rFonts w:hint="default" w:ascii="Times New Roman" w:hAnsi="Times New Roman" w:eastAsia="仿宋_GB2312" w:cs="Times New Roman"/>
          <w:sz w:val="32"/>
          <w:szCs w:val="32"/>
          <w:highlight w:val="none"/>
          <w:lang w:val="en-US" w:eastAsia="zh-CN"/>
        </w:rPr>
        <w:t>快</w:t>
      </w:r>
      <w:r>
        <w:rPr>
          <w:rFonts w:hint="eastAsia" w:ascii="Times New Roman" w:hAnsi="Times New Roman" w:eastAsia="仿宋_GB2312" w:cs="Times New Roman"/>
          <w:sz w:val="32"/>
          <w:szCs w:val="32"/>
          <w:highlight w:val="none"/>
          <w:lang w:val="en-US" w:eastAsia="zh-CN"/>
        </w:rPr>
        <w:t>项目谋划、储备与实施进程，提升储备项目的成熟度，</w:t>
      </w:r>
      <w:r>
        <w:rPr>
          <w:rFonts w:hint="default" w:ascii="Times New Roman" w:hAnsi="Times New Roman" w:eastAsia="仿宋_GB2312" w:cs="Times New Roman"/>
          <w:sz w:val="32"/>
          <w:szCs w:val="32"/>
          <w:highlight w:val="none"/>
          <w:lang w:val="en-US" w:eastAsia="zh-CN"/>
        </w:rPr>
        <w:t>着力构建贵阳市投资控股集团有限公司（以下简称“市投控公司”）“谋划一批、储备一批、实施一批”的合理化项目结构体系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i w:val="0"/>
          <w:iCs w:val="0"/>
          <w:snapToGrid w:val="0"/>
          <w:color w:val="000000"/>
          <w:kern w:val="0"/>
          <w:sz w:val="32"/>
          <w:szCs w:val="32"/>
          <w:highlight w:val="none"/>
          <w:vertAlign w:val="baseline"/>
          <w:lang w:val="en-US" w:eastAsia="zh-CN"/>
        </w:rPr>
        <w:t>市投控公司将进一步加强谋划工作的推进力度，及时对已达到可研深度的项目开展专项评估，并加大对通过评价项目的协同推进力度，以确保项目决策与资金安排等事项得以稳步实施。</w:t>
      </w:r>
    </w:p>
    <w:p w14:paraId="55698F88">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napToGrid w:val="0"/>
          <w:color w:val="000000"/>
          <w:kern w:val="0"/>
          <w:sz w:val="32"/>
          <w:szCs w:val="32"/>
          <w:lang w:val="en-US" w:eastAsia="zh-CN"/>
        </w:rPr>
        <w:t>二、谋划</w:t>
      </w:r>
      <w:r>
        <w:rPr>
          <w:rFonts w:hint="eastAsia" w:ascii="Times New Roman" w:hAnsi="Times New Roman" w:eastAsia="黑体" w:cs="Times New Roman"/>
          <w:sz w:val="32"/>
          <w:szCs w:val="32"/>
          <w:highlight w:val="none"/>
          <w:lang w:val="en-US" w:eastAsia="zh-CN"/>
        </w:rPr>
        <w:t>工作流程</w:t>
      </w:r>
    </w:p>
    <w:p w14:paraId="29ED3D1A">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楷体" w:hAnsi="楷体" w:eastAsia="楷体" w:cs="楷体"/>
          <w:snapToGrid w:val="0"/>
          <w:color w:val="000000"/>
          <w:kern w:val="0"/>
          <w:sz w:val="32"/>
          <w:szCs w:val="32"/>
          <w:lang w:val="en-US" w:eastAsia="zh-CN"/>
        </w:rPr>
      </w:pPr>
      <w:r>
        <w:rPr>
          <w:rFonts w:hint="eastAsia" w:ascii="楷体" w:hAnsi="楷体" w:eastAsia="楷体" w:cs="楷体"/>
          <w:snapToGrid w:val="0"/>
          <w:color w:val="000000"/>
          <w:kern w:val="0"/>
          <w:sz w:val="32"/>
          <w:szCs w:val="32"/>
          <w:lang w:val="en-US" w:eastAsia="zh-CN"/>
        </w:rPr>
        <w:t>（一）谋划项目定义</w:t>
      </w:r>
    </w:p>
    <w:p w14:paraId="1071734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符合公司主责主业，根据自身发展计划或增资计划，通过市场化研判进行谋划的项目。</w:t>
      </w:r>
      <w:r>
        <w:rPr>
          <w:rFonts w:hint="default" w:ascii="Times New Roman" w:hAnsi="Times New Roman" w:eastAsia="仿宋_GB2312" w:cs="Times New Roman"/>
          <w:b w:val="0"/>
          <w:bCs w:val="0"/>
          <w:sz w:val="32"/>
          <w:szCs w:val="32"/>
          <w:highlight w:val="none"/>
          <w:lang w:val="en-US" w:eastAsia="zh-CN"/>
        </w:rPr>
        <w:t>包括固定资产投资工程或项目等生产经营性项目（即以盈利为目标，使用自身经营或自身资信融资等资金进行的建设项目）和非生产经营性项目（即国有企业不以营利为目的，旨在实现社会目标和环境目标，为社会提供公共产品或公共服务的项目）。</w:t>
      </w:r>
    </w:p>
    <w:p w14:paraId="6D4EE28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napToGrid w:val="0"/>
          <w:color w:val="000000"/>
          <w:kern w:val="0"/>
          <w:sz w:val="32"/>
          <w:szCs w:val="32"/>
          <w:lang w:val="en-US" w:eastAsia="zh-CN"/>
        </w:rPr>
      </w:pPr>
      <w:r>
        <w:rPr>
          <w:rFonts w:hint="eastAsia" w:ascii="楷体" w:hAnsi="楷体" w:eastAsia="楷体" w:cs="楷体"/>
          <w:snapToGrid w:val="0"/>
          <w:color w:val="000000"/>
          <w:kern w:val="0"/>
          <w:sz w:val="32"/>
          <w:szCs w:val="32"/>
          <w:lang w:val="en-US" w:eastAsia="zh-CN"/>
        </w:rPr>
        <w:t>（二）</w:t>
      </w:r>
      <w:r>
        <w:rPr>
          <w:rFonts w:hint="eastAsia" w:ascii="楷体_GB2312" w:hAnsi="楷体_GB2312" w:eastAsia="楷体_GB2312" w:cs="楷体_GB2312"/>
          <w:snapToGrid w:val="0"/>
          <w:color w:val="000000"/>
          <w:kern w:val="0"/>
          <w:sz w:val="32"/>
          <w:szCs w:val="32"/>
          <w:lang w:val="en-US" w:eastAsia="zh-CN"/>
        </w:rPr>
        <w:t>谋划项目的标准和要求：</w:t>
      </w:r>
    </w:p>
    <w:p w14:paraId="2DFFD562">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1.项目名称（初步确定）</w:t>
      </w:r>
    </w:p>
    <w:p w14:paraId="10C0CFB9">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2.实施主体（初步确定）</w:t>
      </w:r>
    </w:p>
    <w:p w14:paraId="5E736A79">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3.项目总投（以万元为单位，可不保留小数）</w:t>
      </w:r>
    </w:p>
    <w:p w14:paraId="3D316FA8">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4.项目选址（初步确定）</w:t>
      </w:r>
    </w:p>
    <w:p w14:paraId="50D61B81">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5.项目建设内容（初步确定）</w:t>
      </w:r>
    </w:p>
    <w:p w14:paraId="6F4D7AF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6.市场逻辑和财务初步测算</w:t>
      </w:r>
    </w:p>
    <w:p w14:paraId="2CC4502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（三）谋划工作流程</w:t>
      </w:r>
    </w:p>
    <w:p w14:paraId="0CB48DB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1.初步谋划</w:t>
      </w:r>
    </w:p>
    <w:p w14:paraId="3AEC88BC">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default" w:eastAsia="宋体"/>
          <w:lang w:val="en-US" w:eastAsia="zh-CN"/>
        </w:rPr>
      </w:pPr>
      <w:r>
        <w:rPr>
          <w:rFonts w:hint="eastAsia" w:ascii="仿宋_GB2312" w:hAnsi="仿宋_GB2312" w:eastAsia="仿宋_GB2312" w:cs="仿宋_GB2312"/>
          <w:snapToGrid w:val="0"/>
          <w:color w:val="000000"/>
          <w:kern w:val="0"/>
          <w:sz w:val="32"/>
          <w:szCs w:val="32"/>
          <w:lang w:val="en-US" w:eastAsia="zh-CN"/>
        </w:rPr>
        <w:t>（1）每年年初，由市投控公司工程管理部牵头，组织各子公司开展产业和市场研究，根据各子公司主责主业初步形成谋划思路，并制定谋划项目清单。同时，根据产控集团下达的年度谋划目标及公司发展需求，尽可能多地规划和谋划项目。</w:t>
      </w:r>
      <w:bookmarkStart w:id="0" w:name="_GoBack"/>
      <w:bookmarkEnd w:id="0"/>
    </w:p>
    <w:p w14:paraId="6EAB78BB">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eastAsia="宋体"/>
          <w:lang w:eastAsia="zh-CN"/>
        </w:rPr>
      </w:pPr>
      <w:r>
        <w:rPr>
          <w:rFonts w:hint="eastAsia" w:ascii="仿宋_GB2312" w:hAnsi="仿宋_GB2312" w:eastAsia="仿宋_GB2312" w:cs="仿宋_GB2312"/>
          <w:snapToGrid w:val="0"/>
          <w:color w:val="000000"/>
          <w:kern w:val="0"/>
          <w:sz w:val="32"/>
          <w:szCs w:val="32"/>
          <w:lang w:val="en-US" w:eastAsia="zh-CN"/>
        </w:rPr>
        <w:t>（2）工程管理部每月组织召开项目谋划调度会，依据谋划项目清单，逐个项目研判可行性、梳理当前存在的痛点与难点，提出解决措施与途径。通过集体投票的方式将可行性较低的项目从清单中移除，将新谋划的项目纳入清单，并针对可行性较高的项目集中力量推动其落地实施。</w:t>
      </w:r>
    </w:p>
    <w:p w14:paraId="072F61D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（3）市投控公司将针对行业前景良好且成熟度较高的项目，牵头引入适宜的资源及融资渠道。 </w:t>
      </w:r>
    </w:p>
    <w:p w14:paraId="70F379D0">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2.市场调研</w:t>
      </w:r>
    </w:p>
    <w:p w14:paraId="11E99E6A">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eastAsia="宋体"/>
          <w:lang w:eastAsia="zh-CN"/>
        </w:rPr>
      </w:pPr>
      <w:r>
        <w:rPr>
          <w:rFonts w:hint="eastAsia" w:ascii="仿宋_GB2312" w:hAnsi="仿宋_GB2312" w:eastAsia="仿宋_GB2312" w:cs="仿宋_GB2312"/>
          <w:snapToGrid w:val="0"/>
          <w:color w:val="000000"/>
          <w:kern w:val="0"/>
          <w:sz w:val="32"/>
          <w:szCs w:val="32"/>
          <w:lang w:val="en-US" w:eastAsia="zh-CN"/>
        </w:rPr>
        <w:t>（1）谋划项目实施之前均需开展市场调研工作。各子公司应通过多种途径进行市场调研，具体途径包括但不限于问卷调查、实地拜访、暗访、座谈以及购买付费数据等。需采用不少于两种的调研方式进行交叉验证。</w:t>
      </w:r>
    </w:p>
    <w:p w14:paraId="342DCCBC">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eastAsia="宋体"/>
          <w:lang w:eastAsia="zh-CN"/>
        </w:rPr>
      </w:pPr>
      <w:r>
        <w:rPr>
          <w:rFonts w:hint="eastAsia" w:ascii="仿宋_GB2312" w:hAnsi="仿宋_GB2312" w:eastAsia="仿宋_GB2312" w:cs="仿宋_GB2312"/>
          <w:snapToGrid w:val="0"/>
          <w:color w:val="000000"/>
          <w:kern w:val="0"/>
          <w:sz w:val="32"/>
          <w:szCs w:val="32"/>
          <w:lang w:val="en-US" w:eastAsia="zh-CN"/>
        </w:rPr>
        <w:t>（2）对调研数据进行整理并形成调研报告。调研报告是研判项目可行性的重要决策资料，各子公司应参照附件 2（贵阳市投资控股集团有限公司市场调研报告）进行撰写。</w:t>
      </w:r>
    </w:p>
    <w:p w14:paraId="28219F2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（3）市场调研报告完成后，需报市投控公司工程管理部备案，该报告将作为下一步项目落地及投资决策审批流程的重要依据。</w:t>
      </w:r>
    </w:p>
    <w:p w14:paraId="460005A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3.调度机制</w:t>
      </w:r>
    </w:p>
    <w:p w14:paraId="04E4F578">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工程管理部作为项目谋划的归口管理部门，</w:t>
      </w:r>
      <w:r>
        <w:rPr>
          <w:rFonts w:hint="eastAsia" w:ascii="仿宋_GB2312" w:hAnsi="仿宋_GB2312" w:eastAsia="仿宋_GB2312" w:cs="仿宋_GB2312"/>
          <w:b/>
          <w:bCs/>
          <w:snapToGrid w:val="0"/>
          <w:color w:val="000000"/>
          <w:kern w:val="0"/>
          <w:sz w:val="32"/>
          <w:szCs w:val="32"/>
          <w:lang w:val="en-US" w:eastAsia="zh-CN"/>
        </w:rPr>
        <w:t>一是</w:t>
      </w:r>
      <w:r>
        <w:rPr>
          <w:rFonts w:hint="eastAsia" w:ascii="仿宋_GB2312" w:hAnsi="仿宋_GB2312" w:eastAsia="仿宋_GB2312" w:cs="仿宋_GB2312"/>
          <w:snapToGrid w:val="0"/>
          <w:color w:val="000000"/>
          <w:kern w:val="0"/>
          <w:sz w:val="32"/>
          <w:szCs w:val="32"/>
          <w:lang w:val="en-US" w:eastAsia="zh-CN"/>
        </w:rPr>
        <w:t>在年初根据产控考核标准，结合市投控公司经营发展需求及各子企业实际情况制定年度目标计划表。</w:t>
      </w:r>
      <w:r>
        <w:rPr>
          <w:rFonts w:hint="eastAsia" w:ascii="仿宋_GB2312" w:hAnsi="仿宋_GB2312" w:eastAsia="仿宋_GB2312" w:cs="仿宋_GB2312"/>
          <w:b/>
          <w:bCs/>
          <w:snapToGrid w:val="0"/>
          <w:color w:val="000000"/>
          <w:kern w:val="0"/>
          <w:sz w:val="32"/>
          <w:szCs w:val="32"/>
          <w:lang w:val="en-US" w:eastAsia="zh-CN"/>
        </w:rPr>
        <w:t>二是</w:t>
      </w:r>
      <w:r>
        <w:rPr>
          <w:rFonts w:hint="eastAsia" w:ascii="仿宋_GB2312" w:hAnsi="仿宋_GB2312" w:eastAsia="仿宋_GB2312" w:cs="仿宋_GB2312"/>
          <w:snapToGrid w:val="0"/>
          <w:color w:val="000000"/>
          <w:kern w:val="0"/>
          <w:sz w:val="32"/>
          <w:szCs w:val="32"/>
          <w:lang w:val="en-US" w:eastAsia="zh-CN"/>
        </w:rPr>
        <w:t>牵头编制市投控公司项目谋划调度表，各子公司根据要求每周填报项目谋划进展情况与项目谋划推进过程中的痛点与难点。分管领导每月调度各子公司项目谋划进度，主要领导每季度全面调度项目谋划推进情况。同时，对于谋划质量高、成熟度较好的谋划项目，工程管理部将及时上报公司管理层，协调公司内部资源或寻求外部支持，为谋划项目落地实施提供保障。</w:t>
      </w:r>
    </w:p>
    <w:p w14:paraId="4D4FCBF7">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楷体" w:hAnsi="楷体" w:eastAsia="楷体" w:cs="楷体"/>
          <w:snapToGrid w:val="0"/>
          <w:color w:val="000000"/>
          <w:kern w:val="0"/>
          <w:sz w:val="32"/>
          <w:szCs w:val="32"/>
          <w:lang w:val="en-US" w:eastAsia="zh-CN"/>
        </w:rPr>
      </w:pPr>
      <w:r>
        <w:rPr>
          <w:rFonts w:hint="eastAsia" w:ascii="黑体" w:hAnsi="黑体" w:eastAsia="黑体" w:cs="黑体"/>
          <w:b w:val="0"/>
          <w:bCs w:val="0"/>
          <w:sz w:val="32"/>
          <w:szCs w:val="32"/>
          <w:highlight w:val="none"/>
          <w:lang w:val="en-US" w:eastAsia="zh-CN"/>
        </w:rPr>
        <w:t>三、谋划转储备工作流程</w:t>
      </w:r>
    </w:p>
    <w:p w14:paraId="28A2563E">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eastAsia" w:ascii="楷体" w:hAnsi="楷体" w:eastAsia="楷体" w:cs="楷体"/>
          <w:snapToGrid w:val="0"/>
          <w:color w:val="000000"/>
          <w:kern w:val="0"/>
          <w:sz w:val="32"/>
          <w:szCs w:val="32"/>
          <w:lang w:val="en-US" w:eastAsia="zh-CN"/>
        </w:rPr>
        <w:t>（一）谋转储项目定义</w:t>
      </w:r>
    </w:p>
    <w:p w14:paraId="7BC935A4">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已完成可行性研究报告（包括但不限于项目市场预测分析、初步建设方案、投资估算、资金筹措意向、财务分析、经济分析、风险分析、研究结论等），但因开发时序未列入本年度投资计划（实施项目）清单中</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成熟的固定资产投资项目。</w:t>
      </w:r>
    </w:p>
    <w:p w14:paraId="28DFFA4C">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（二）储备项目的标准与要求</w:t>
      </w:r>
    </w:p>
    <w:p w14:paraId="45276D3C">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（1）项目名称（初步确定）</w:t>
      </w:r>
    </w:p>
    <w:p w14:paraId="42B30B5F">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（2）实施主体（初步确定）</w:t>
      </w:r>
    </w:p>
    <w:p w14:paraId="257EC6F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（3）项目总投（以万元为单位，可不保留小数）</w:t>
      </w:r>
    </w:p>
    <w:p w14:paraId="4CECBE33">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（4）项目选址（初步确定）</w:t>
      </w:r>
    </w:p>
    <w:p w14:paraId="2783AE39">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（5）项目实施（建设）方式（含建设周期）</w:t>
      </w:r>
    </w:p>
    <w:p w14:paraId="328E31A7">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（6）项目必要性与可行性</w:t>
      </w:r>
    </w:p>
    <w:p w14:paraId="5B66C9CB">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（7）项目财务或经济分析以及资金筹措计划，包含盈利模式，且回报周期原则不超过</w:t>
      </w:r>
      <w:r>
        <w:rPr>
          <w:rFonts w:hint="eastAsia" w:ascii="Times New Roman" w:hAnsi="Times New Roman"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val="en-US" w:eastAsia="zh-CN"/>
        </w:rPr>
        <w:t>年（含建设周期）</w:t>
      </w:r>
    </w:p>
    <w:p w14:paraId="15F2C70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（三）项目谋转储评估办法与机制</w:t>
      </w:r>
    </w:p>
    <w:p w14:paraId="1A6447F3">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z w:val="32"/>
          <w:szCs w:val="32"/>
          <w:highlight w:val="none"/>
          <w:lang w:val="en-US" w:eastAsia="zh-CN"/>
        </w:rPr>
        <w:t>评估周期</w:t>
      </w:r>
    </w:p>
    <w:p w14:paraId="1739235F">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原则上每季度评估一次，因争资</w:t>
      </w:r>
      <w:r>
        <w:rPr>
          <w:rFonts w:hint="eastAsia" w:ascii="Times New Roman" w:hAnsi="Times New Roman" w:eastAsia="仿宋_GB2312" w:cs="Times New Roman"/>
          <w:b w:val="0"/>
          <w:bCs w:val="0"/>
          <w:sz w:val="32"/>
          <w:szCs w:val="32"/>
          <w:highlight w:val="none"/>
          <w:lang w:val="en-US" w:eastAsia="zh-CN"/>
        </w:rPr>
        <w:t>或</w:t>
      </w:r>
      <w:r>
        <w:rPr>
          <w:rFonts w:hint="default" w:ascii="Times New Roman" w:hAnsi="Times New Roman" w:eastAsia="仿宋_GB2312" w:cs="Times New Roman"/>
          <w:b w:val="0"/>
          <w:bCs w:val="0"/>
          <w:sz w:val="32"/>
          <w:szCs w:val="32"/>
          <w:highlight w:val="none"/>
          <w:lang w:val="en-US" w:eastAsia="zh-CN"/>
        </w:rPr>
        <w:t>其他特殊情况</w:t>
      </w:r>
      <w:r>
        <w:rPr>
          <w:rFonts w:hint="eastAsia" w:ascii="Times New Roman" w:hAnsi="Times New Roman" w:eastAsia="仿宋_GB2312" w:cs="Times New Roman"/>
          <w:b w:val="0"/>
          <w:bCs w:val="0"/>
          <w:sz w:val="32"/>
          <w:szCs w:val="32"/>
          <w:highlight w:val="none"/>
          <w:lang w:val="en-US" w:eastAsia="zh-CN"/>
        </w:rPr>
        <w:t>可“一事一议”临时</w:t>
      </w:r>
      <w:r>
        <w:rPr>
          <w:rFonts w:hint="default" w:ascii="Times New Roman" w:hAnsi="Times New Roman" w:eastAsia="仿宋_GB2312" w:cs="Times New Roman"/>
          <w:b w:val="0"/>
          <w:bCs w:val="0"/>
          <w:sz w:val="32"/>
          <w:szCs w:val="32"/>
          <w:highlight w:val="none"/>
          <w:lang w:val="en-US" w:eastAsia="zh-CN"/>
        </w:rPr>
        <w:t>开展。</w:t>
      </w:r>
    </w:p>
    <w:p w14:paraId="6D490CD1">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eastAsia" w:ascii="仿宋_GB2312" w:hAnsi="仿宋_GB2312" w:eastAsia="仿宋_GB2312" w:cs="仿宋_GB2312"/>
          <w:snapToGrid w:val="0"/>
          <w:color w:val="000000"/>
          <w:kern w:val="0"/>
          <w:sz w:val="32"/>
          <w:szCs w:val="32"/>
          <w:lang w:val="en-US" w:eastAsia="zh-CN"/>
        </w:rPr>
        <w:t>2.</w:t>
      </w:r>
      <w:r>
        <w:rPr>
          <w:rFonts w:hint="eastAsia" w:ascii="仿宋_GB2312" w:hAnsi="仿宋_GB2312" w:eastAsia="仿宋_GB2312" w:cs="仿宋_GB2312"/>
          <w:sz w:val="32"/>
          <w:szCs w:val="32"/>
          <w:highlight w:val="none"/>
          <w:lang w:val="en-US" w:eastAsia="zh-CN"/>
        </w:rPr>
        <w:t>评估所需材料</w:t>
      </w:r>
    </w:p>
    <w:p w14:paraId="6F270EEB">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经实施主体</w:t>
      </w:r>
      <w:r>
        <w:rPr>
          <w:rFonts w:hint="eastAsia" w:ascii="Times New Roman" w:hAnsi="Times New Roman" w:eastAsia="仿宋_GB2312" w:cs="Times New Roman"/>
          <w:b w:val="0"/>
          <w:bCs w:val="0"/>
          <w:sz w:val="32"/>
          <w:szCs w:val="32"/>
          <w:highlight w:val="none"/>
          <w:lang w:val="en-US" w:eastAsia="zh-CN"/>
        </w:rPr>
        <w:t>分管领导签字</w:t>
      </w:r>
      <w:r>
        <w:rPr>
          <w:rFonts w:hint="default" w:ascii="Times New Roman" w:hAnsi="Times New Roman" w:eastAsia="仿宋_GB2312" w:cs="Times New Roman"/>
          <w:b w:val="0"/>
          <w:bCs w:val="0"/>
          <w:sz w:val="32"/>
          <w:szCs w:val="32"/>
          <w:highlight w:val="none"/>
          <w:lang w:val="en-US" w:eastAsia="zh-CN"/>
        </w:rPr>
        <w:t>确认的项目可行性研究报告文本。</w:t>
      </w:r>
    </w:p>
    <w:p w14:paraId="1D150354">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z w:val="32"/>
          <w:szCs w:val="32"/>
          <w:highlight w:val="none"/>
          <w:lang w:val="en-US" w:eastAsia="zh-CN"/>
        </w:rPr>
        <w:t>评估方式</w:t>
      </w:r>
    </w:p>
    <w:p w14:paraId="4AEA4583">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由</w:t>
      </w:r>
      <w:r>
        <w:rPr>
          <w:rFonts w:hint="eastAsia" w:ascii="Times New Roman" w:hAnsi="Times New Roman" w:eastAsia="仿宋_GB2312" w:cs="Times New Roman"/>
          <w:b w:val="0"/>
          <w:bCs w:val="0"/>
          <w:sz w:val="32"/>
          <w:szCs w:val="32"/>
          <w:highlight w:val="none"/>
          <w:lang w:val="en-US" w:eastAsia="zh-CN"/>
        </w:rPr>
        <w:t>市投控</w:t>
      </w:r>
      <w:r>
        <w:rPr>
          <w:rFonts w:hint="default" w:ascii="Times New Roman" w:hAnsi="Times New Roman" w:eastAsia="仿宋_GB2312" w:cs="Times New Roman"/>
          <w:b w:val="0"/>
          <w:bCs w:val="0"/>
          <w:sz w:val="32"/>
          <w:szCs w:val="32"/>
          <w:highlight w:val="none"/>
          <w:lang w:val="en-US" w:eastAsia="zh-CN"/>
        </w:rPr>
        <w:t>公司</w:t>
      </w:r>
      <w:r>
        <w:rPr>
          <w:rFonts w:hint="eastAsia" w:ascii="Times New Roman" w:hAnsi="Times New Roman" w:eastAsia="仿宋_GB2312" w:cs="Times New Roman"/>
          <w:b w:val="0"/>
          <w:bCs w:val="0"/>
          <w:sz w:val="32"/>
          <w:szCs w:val="32"/>
          <w:highlight w:val="none"/>
          <w:lang w:val="en-US" w:eastAsia="zh-CN"/>
        </w:rPr>
        <w:t>工程管理</w:t>
      </w:r>
      <w:r>
        <w:rPr>
          <w:rFonts w:hint="default" w:ascii="Times New Roman" w:hAnsi="Times New Roman" w:eastAsia="仿宋_GB2312" w:cs="Times New Roman"/>
          <w:b w:val="0"/>
          <w:bCs w:val="0"/>
          <w:sz w:val="32"/>
          <w:szCs w:val="32"/>
          <w:highlight w:val="none"/>
          <w:lang w:val="en-US" w:eastAsia="zh-CN"/>
        </w:rPr>
        <w:t>部组织现场会议</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公司</w:t>
      </w:r>
      <w:r>
        <w:rPr>
          <w:rFonts w:hint="eastAsia" w:ascii="Times New Roman" w:hAnsi="Times New Roman" w:eastAsia="仿宋_GB2312" w:cs="Times New Roman"/>
          <w:b w:val="0"/>
          <w:bCs w:val="0"/>
          <w:sz w:val="32"/>
          <w:szCs w:val="32"/>
          <w:highlight w:val="none"/>
          <w:lang w:val="en-US" w:eastAsia="zh-CN"/>
        </w:rPr>
        <w:t>企业管理部、</w:t>
      </w:r>
      <w:r>
        <w:rPr>
          <w:rFonts w:hint="default" w:ascii="Times New Roman" w:hAnsi="Times New Roman" w:eastAsia="仿宋_GB2312" w:cs="Times New Roman"/>
          <w:b w:val="0"/>
          <w:bCs w:val="0"/>
          <w:sz w:val="32"/>
          <w:szCs w:val="32"/>
          <w:highlight w:val="none"/>
          <w:lang w:val="en-US" w:eastAsia="zh-CN"/>
        </w:rPr>
        <w:t>融资管理部</w:t>
      </w:r>
      <w:r>
        <w:rPr>
          <w:rFonts w:hint="eastAsia" w:ascii="Times New Roman" w:hAnsi="Times New Roman" w:eastAsia="仿宋_GB2312" w:cs="Times New Roman"/>
          <w:b w:val="0"/>
          <w:bCs w:val="0"/>
          <w:sz w:val="32"/>
          <w:szCs w:val="32"/>
          <w:highlight w:val="none"/>
          <w:lang w:val="en-US" w:eastAsia="zh-CN"/>
        </w:rPr>
        <w:t>、财务管理部</w:t>
      </w:r>
      <w:r>
        <w:rPr>
          <w:rFonts w:hint="default" w:ascii="Times New Roman" w:hAnsi="Times New Roman" w:eastAsia="仿宋_GB2312" w:cs="Times New Roman"/>
          <w:b w:val="0"/>
          <w:bCs w:val="0"/>
          <w:sz w:val="32"/>
          <w:szCs w:val="32"/>
          <w:highlight w:val="none"/>
          <w:lang w:val="en-US" w:eastAsia="zh-CN"/>
        </w:rPr>
        <w:t>、审计</w:t>
      </w:r>
      <w:r>
        <w:rPr>
          <w:rFonts w:hint="eastAsia" w:ascii="Times New Roman" w:hAnsi="Times New Roman" w:eastAsia="仿宋_GB2312" w:cs="Times New Roman"/>
          <w:b w:val="0"/>
          <w:bCs w:val="0"/>
          <w:sz w:val="32"/>
          <w:szCs w:val="32"/>
          <w:highlight w:val="none"/>
          <w:lang w:val="en-US" w:eastAsia="zh-CN"/>
        </w:rPr>
        <w:t>合规</w:t>
      </w:r>
      <w:r>
        <w:rPr>
          <w:rFonts w:hint="default" w:ascii="Times New Roman" w:hAnsi="Times New Roman" w:eastAsia="仿宋_GB2312" w:cs="Times New Roman"/>
          <w:b w:val="0"/>
          <w:bCs w:val="0"/>
          <w:sz w:val="32"/>
          <w:szCs w:val="32"/>
          <w:highlight w:val="none"/>
          <w:lang w:val="en-US" w:eastAsia="zh-CN"/>
        </w:rPr>
        <w:t>部</w:t>
      </w:r>
      <w:r>
        <w:rPr>
          <w:rFonts w:hint="eastAsia" w:ascii="Times New Roman" w:hAnsi="Times New Roman" w:eastAsia="仿宋_GB2312" w:cs="Times New Roman"/>
          <w:b w:val="0"/>
          <w:bCs w:val="0"/>
          <w:sz w:val="32"/>
          <w:szCs w:val="32"/>
          <w:highlight w:val="none"/>
          <w:lang w:val="en-US" w:eastAsia="zh-CN"/>
        </w:rPr>
        <w:t>参加</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必要时邀请</w:t>
      </w:r>
      <w:r>
        <w:rPr>
          <w:rFonts w:hint="default" w:ascii="Times New Roman" w:hAnsi="Times New Roman" w:eastAsia="仿宋_GB2312" w:cs="Times New Roman"/>
          <w:b w:val="0"/>
          <w:bCs w:val="0"/>
          <w:sz w:val="32"/>
          <w:szCs w:val="32"/>
          <w:highlight w:val="none"/>
          <w:lang w:val="en-US" w:eastAsia="zh-CN"/>
        </w:rPr>
        <w:t>其他相关部门）</w:t>
      </w:r>
      <w:r>
        <w:rPr>
          <w:rFonts w:hint="eastAsia" w:ascii="Times New Roman" w:hAnsi="Times New Roman" w:eastAsia="仿宋_GB2312" w:cs="Times New Roman"/>
          <w:b w:val="0"/>
          <w:bCs w:val="0"/>
          <w:sz w:val="32"/>
          <w:szCs w:val="32"/>
          <w:highlight w:val="none"/>
          <w:lang w:val="en-US" w:eastAsia="zh-CN"/>
        </w:rPr>
        <w:t>，各参会部门</w:t>
      </w:r>
      <w:r>
        <w:rPr>
          <w:rFonts w:hint="default" w:ascii="Times New Roman" w:hAnsi="Times New Roman" w:eastAsia="仿宋_GB2312" w:cs="Times New Roman"/>
          <w:b w:val="0"/>
          <w:bCs w:val="0"/>
          <w:sz w:val="32"/>
          <w:szCs w:val="32"/>
          <w:highlight w:val="none"/>
          <w:lang w:val="en-US" w:eastAsia="zh-CN"/>
        </w:rPr>
        <w:t>负责人采取记名投票。</w:t>
      </w:r>
    </w:p>
    <w:p w14:paraId="125D79E7">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）现场会议由公司分管领导</w:t>
      </w:r>
      <w:r>
        <w:rPr>
          <w:rFonts w:hint="eastAsia" w:ascii="Times New Roman" w:hAnsi="Times New Roman" w:eastAsia="仿宋_GB2312" w:cs="Times New Roman"/>
          <w:b w:val="0"/>
          <w:bCs w:val="0"/>
          <w:sz w:val="32"/>
          <w:szCs w:val="32"/>
          <w:highlight w:val="none"/>
          <w:lang w:val="en-US" w:eastAsia="zh-CN"/>
        </w:rPr>
        <w:t>主持</w:t>
      </w:r>
      <w:r>
        <w:rPr>
          <w:rFonts w:hint="default" w:ascii="Times New Roman" w:hAnsi="Times New Roman" w:eastAsia="仿宋_GB2312" w:cs="Times New Roman"/>
          <w:b w:val="0"/>
          <w:bCs w:val="0"/>
          <w:sz w:val="32"/>
          <w:szCs w:val="32"/>
          <w:highlight w:val="none"/>
          <w:lang w:val="en-US" w:eastAsia="zh-CN"/>
        </w:rPr>
        <w:t>，分管领导参与投票，分管领导、</w:t>
      </w:r>
      <w:r>
        <w:rPr>
          <w:rFonts w:hint="eastAsia" w:ascii="Times New Roman" w:hAnsi="Times New Roman" w:eastAsia="仿宋_GB2312" w:cs="Times New Roman"/>
          <w:b w:val="0"/>
          <w:bCs w:val="0"/>
          <w:sz w:val="32"/>
          <w:szCs w:val="32"/>
          <w:highlight w:val="none"/>
          <w:lang w:val="en-US" w:eastAsia="zh-CN"/>
        </w:rPr>
        <w:t>工程管理</w:t>
      </w:r>
      <w:r>
        <w:rPr>
          <w:rFonts w:hint="default" w:ascii="Times New Roman" w:hAnsi="Times New Roman" w:eastAsia="仿宋_GB2312" w:cs="Times New Roman"/>
          <w:b w:val="0"/>
          <w:bCs w:val="0"/>
          <w:sz w:val="32"/>
          <w:szCs w:val="32"/>
          <w:highlight w:val="none"/>
          <w:lang w:val="en-US" w:eastAsia="zh-CN"/>
        </w:rPr>
        <w:t>部与其他部门负责人（或部门负责人授权参会投票部门代表）各计1票，超过半数视为通过，半数及以下视为不通过。</w:t>
      </w:r>
    </w:p>
    <w:p w14:paraId="399C3B10">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各</w:t>
      </w:r>
      <w:r>
        <w:rPr>
          <w:rFonts w:hint="default" w:ascii="Times New Roman" w:hAnsi="Times New Roman" w:eastAsia="仿宋_GB2312" w:cs="Times New Roman"/>
          <w:b w:val="0"/>
          <w:bCs w:val="0"/>
          <w:sz w:val="32"/>
          <w:szCs w:val="32"/>
          <w:highlight w:val="none"/>
          <w:lang w:val="en-US" w:eastAsia="zh-CN"/>
        </w:rPr>
        <w:t>部门</w:t>
      </w:r>
      <w:r>
        <w:rPr>
          <w:rFonts w:hint="eastAsia" w:ascii="Times New Roman" w:hAnsi="Times New Roman" w:eastAsia="仿宋_GB2312" w:cs="Times New Roman"/>
          <w:b w:val="0"/>
          <w:bCs w:val="0"/>
          <w:sz w:val="32"/>
          <w:szCs w:val="32"/>
          <w:highlight w:val="none"/>
          <w:lang w:val="en-US" w:eastAsia="zh-CN"/>
        </w:rPr>
        <w:t>在谋转储会议现场</w:t>
      </w:r>
      <w:r>
        <w:rPr>
          <w:rFonts w:hint="default" w:ascii="Times New Roman" w:hAnsi="Times New Roman" w:eastAsia="仿宋_GB2312" w:cs="Times New Roman"/>
          <w:b w:val="0"/>
          <w:bCs w:val="0"/>
          <w:sz w:val="32"/>
          <w:szCs w:val="32"/>
          <w:highlight w:val="none"/>
          <w:lang w:val="en-US" w:eastAsia="zh-CN"/>
        </w:rPr>
        <w:t>提出的</w:t>
      </w:r>
      <w:r>
        <w:rPr>
          <w:rFonts w:hint="eastAsia" w:ascii="Times New Roman" w:hAnsi="Times New Roman" w:eastAsia="仿宋_GB2312" w:cs="Times New Roman"/>
          <w:b w:val="0"/>
          <w:bCs w:val="0"/>
          <w:sz w:val="32"/>
          <w:szCs w:val="32"/>
          <w:highlight w:val="none"/>
          <w:lang w:val="en-US" w:eastAsia="zh-CN"/>
        </w:rPr>
        <w:t>修改</w:t>
      </w:r>
      <w:r>
        <w:rPr>
          <w:rFonts w:hint="default" w:ascii="Times New Roman" w:hAnsi="Times New Roman" w:eastAsia="仿宋_GB2312" w:cs="Times New Roman"/>
          <w:b w:val="0"/>
          <w:bCs w:val="0"/>
          <w:sz w:val="32"/>
          <w:szCs w:val="32"/>
          <w:highlight w:val="none"/>
          <w:lang w:val="en-US" w:eastAsia="zh-CN"/>
        </w:rPr>
        <w:t>意见，</w:t>
      </w:r>
      <w:r>
        <w:rPr>
          <w:rFonts w:hint="eastAsia" w:ascii="Times New Roman" w:hAnsi="Times New Roman" w:eastAsia="仿宋_GB2312" w:cs="Times New Roman"/>
          <w:b w:val="0"/>
          <w:bCs w:val="0"/>
          <w:sz w:val="32"/>
          <w:szCs w:val="32"/>
          <w:highlight w:val="none"/>
          <w:lang w:val="en-US" w:eastAsia="zh-CN"/>
        </w:rPr>
        <w:t>由参评企业现场答复后</w:t>
      </w:r>
      <w:r>
        <w:rPr>
          <w:rFonts w:hint="default" w:ascii="Times New Roman" w:hAnsi="Times New Roman" w:eastAsia="仿宋_GB2312" w:cs="Times New Roman"/>
          <w:b w:val="0"/>
          <w:bCs w:val="0"/>
          <w:sz w:val="32"/>
          <w:szCs w:val="32"/>
          <w:highlight w:val="none"/>
          <w:lang w:val="en-US" w:eastAsia="zh-CN"/>
        </w:rPr>
        <w:t>修订完善</w:t>
      </w:r>
      <w:r>
        <w:rPr>
          <w:rFonts w:hint="eastAsia" w:ascii="Times New Roman" w:hAnsi="Times New Roman" w:eastAsia="仿宋_GB2312" w:cs="Times New Roman"/>
          <w:b w:val="0"/>
          <w:bCs w:val="0"/>
          <w:sz w:val="32"/>
          <w:szCs w:val="32"/>
          <w:highlight w:val="none"/>
          <w:lang w:val="en-US" w:eastAsia="zh-CN"/>
        </w:rPr>
        <w:t>，修订完善后5个工作日内报工程管理部备案</w:t>
      </w:r>
      <w:r>
        <w:rPr>
          <w:rFonts w:hint="default" w:ascii="Times New Roman" w:hAnsi="Times New Roman" w:eastAsia="仿宋_GB2312" w:cs="Times New Roman"/>
          <w:b w:val="0"/>
          <w:bCs w:val="0"/>
          <w:sz w:val="32"/>
          <w:szCs w:val="32"/>
          <w:highlight w:val="none"/>
          <w:lang w:val="en-US" w:eastAsia="zh-CN"/>
        </w:rPr>
        <w:t>。</w:t>
      </w:r>
    </w:p>
    <w:p w14:paraId="5CBB839E">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）未通过评估</w:t>
      </w:r>
      <w:r>
        <w:rPr>
          <w:rFonts w:hint="eastAsia" w:ascii="Times New Roman" w:hAnsi="Times New Roman" w:eastAsia="仿宋_GB2312" w:cs="Times New Roman"/>
          <w:b w:val="0"/>
          <w:bCs w:val="0"/>
          <w:sz w:val="32"/>
          <w:szCs w:val="32"/>
          <w:highlight w:val="none"/>
          <w:lang w:val="en-US" w:eastAsia="zh-CN"/>
        </w:rPr>
        <w:t>的</w:t>
      </w:r>
      <w:r>
        <w:rPr>
          <w:rFonts w:hint="default" w:ascii="Times New Roman" w:hAnsi="Times New Roman" w:eastAsia="仿宋_GB2312" w:cs="Times New Roman"/>
          <w:b w:val="0"/>
          <w:bCs w:val="0"/>
          <w:sz w:val="32"/>
          <w:szCs w:val="32"/>
          <w:highlight w:val="none"/>
          <w:lang w:val="en-US" w:eastAsia="zh-CN"/>
        </w:rPr>
        <w:t>项目须完善修改建议后重新提交评估。</w:t>
      </w:r>
    </w:p>
    <w:p w14:paraId="37ABCDF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参评企业于现场会议开始</w:t>
      </w:r>
      <w:r>
        <w:rPr>
          <w:rFonts w:hint="eastAsia" w:ascii="Times New Roman" w:hAnsi="Times New Roman" w:eastAsia="仿宋_GB2312" w:cs="Times New Roman"/>
          <w:b w:val="0"/>
          <w:bCs w:val="0"/>
          <w:sz w:val="32"/>
          <w:szCs w:val="32"/>
          <w:highlight w:val="none"/>
          <w:lang w:val="en-US" w:eastAsia="zh-CN"/>
        </w:rPr>
        <w:t>3天</w:t>
      </w:r>
      <w:r>
        <w:rPr>
          <w:rFonts w:hint="default" w:ascii="Times New Roman" w:hAnsi="Times New Roman" w:eastAsia="仿宋_GB2312" w:cs="Times New Roman"/>
          <w:b w:val="0"/>
          <w:bCs w:val="0"/>
          <w:sz w:val="32"/>
          <w:szCs w:val="32"/>
          <w:highlight w:val="none"/>
          <w:lang w:val="en-US" w:eastAsia="zh-CN"/>
        </w:rPr>
        <w:t>前提交评估项目可行性研究报告文本</w:t>
      </w:r>
      <w:r>
        <w:rPr>
          <w:rFonts w:hint="eastAsia" w:ascii="Times New Roman" w:hAnsi="Times New Roman" w:eastAsia="仿宋_GB2312" w:cs="Times New Roman"/>
          <w:b w:val="0"/>
          <w:bCs w:val="0"/>
          <w:sz w:val="32"/>
          <w:szCs w:val="32"/>
          <w:highlight w:val="none"/>
          <w:lang w:val="en-US" w:eastAsia="zh-CN"/>
        </w:rPr>
        <w:t>，同时工程管理部需于会议开始前至少一周通知参评企业。</w:t>
      </w:r>
      <w:r>
        <w:rPr>
          <w:rFonts w:hint="default" w:ascii="Times New Roman" w:hAnsi="Times New Roman" w:eastAsia="仿宋_GB2312" w:cs="Times New Roman"/>
          <w:b w:val="0"/>
          <w:bCs w:val="0"/>
          <w:sz w:val="32"/>
          <w:szCs w:val="32"/>
          <w:highlight w:val="none"/>
          <w:lang w:val="en-US" w:eastAsia="zh-CN"/>
        </w:rPr>
        <w:t>现场会议以简要报告形式汇报参评项目情况，或以PPT形式报告项目情况。</w:t>
      </w:r>
    </w:p>
    <w:p w14:paraId="5A6D32C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5.已完成市投控公司投资决策流程或正在进行投资决策流程的项目原则上不得计入年度谋划或谋转储项目考核指标。</w:t>
      </w:r>
    </w:p>
    <w:p w14:paraId="08CB2C66">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四、管理机构与职责</w:t>
      </w:r>
    </w:p>
    <w:p w14:paraId="31751E5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市投控公司各部门是项目谋划与谋转储的专业职能部门，在管理工作中承担职责如下：</w:t>
      </w:r>
    </w:p>
    <w:p w14:paraId="5047A0AE">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（一）工程管理部</w:t>
      </w:r>
    </w:p>
    <w:p w14:paraId="6098EF12">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为</w:t>
      </w:r>
      <w:r>
        <w:rPr>
          <w:rFonts w:hint="eastAsia" w:ascii="仿宋_GB2312" w:hAnsi="仿宋_GB2312" w:eastAsia="仿宋_GB2312" w:cs="仿宋_GB2312"/>
          <w:b w:val="0"/>
          <w:bCs w:val="0"/>
          <w:sz w:val="32"/>
          <w:szCs w:val="32"/>
          <w:highlight w:val="none"/>
          <w:lang w:val="en-US" w:eastAsia="zh-CN"/>
        </w:rPr>
        <w:t>谋划</w:t>
      </w:r>
      <w:r>
        <w:rPr>
          <w:rFonts w:hint="default" w:ascii="仿宋_GB2312" w:hAnsi="仿宋_GB2312" w:eastAsia="仿宋_GB2312" w:cs="仿宋_GB2312"/>
          <w:b w:val="0"/>
          <w:bCs w:val="0"/>
          <w:sz w:val="32"/>
          <w:szCs w:val="32"/>
          <w:highlight w:val="none"/>
          <w:lang w:val="en-US" w:eastAsia="zh-CN"/>
        </w:rPr>
        <w:t>业务的归口管理部门，具体负责</w:t>
      </w:r>
      <w:r>
        <w:rPr>
          <w:rFonts w:hint="eastAsia" w:ascii="仿宋_GB2312" w:hAnsi="仿宋_GB2312" w:eastAsia="仿宋_GB2312" w:cs="仿宋_GB2312"/>
          <w:b w:val="0"/>
          <w:bCs w:val="0"/>
          <w:sz w:val="32"/>
          <w:szCs w:val="32"/>
          <w:highlight w:val="none"/>
          <w:lang w:val="en-US" w:eastAsia="zh-CN"/>
        </w:rPr>
        <w:t>统筹管理子企业项目谋划及谋转储</w:t>
      </w:r>
      <w:r>
        <w:rPr>
          <w:rFonts w:hint="default" w:ascii="仿宋_GB2312" w:hAnsi="仿宋_GB2312" w:eastAsia="仿宋_GB2312" w:cs="仿宋_GB2312"/>
          <w:b w:val="0"/>
          <w:bCs w:val="0"/>
          <w:sz w:val="32"/>
          <w:szCs w:val="32"/>
          <w:highlight w:val="none"/>
          <w:lang w:val="en-US" w:eastAsia="zh-CN"/>
        </w:rPr>
        <w:t>等工作；</w:t>
      </w:r>
      <w:r>
        <w:rPr>
          <w:rFonts w:hint="eastAsia" w:ascii="仿宋_GB2312" w:hAnsi="仿宋_GB2312" w:eastAsia="仿宋_GB2312" w:cs="仿宋_GB2312"/>
          <w:b w:val="0"/>
          <w:bCs w:val="0"/>
          <w:sz w:val="32"/>
          <w:szCs w:val="32"/>
          <w:highlight w:val="none"/>
          <w:lang w:val="en-US" w:eastAsia="zh-CN"/>
        </w:rPr>
        <w:t>根据产控集团下发的项目谋划及谋转储任务指标并结合市投控公司实际经营需求，制定年度目标后将指标分解到各子公司并进行考核；</w:t>
      </w:r>
      <w:r>
        <w:rPr>
          <w:rFonts w:hint="default" w:ascii="Times New Roman" w:hAnsi="Times New Roman" w:eastAsia="仿宋_GB2312" w:cs="Times New Roman"/>
          <w:sz w:val="32"/>
          <w:szCs w:val="32"/>
          <w:lang w:val="en-US" w:eastAsia="zh-CN"/>
        </w:rPr>
        <w:t>负责研究分析</w:t>
      </w:r>
      <w:r>
        <w:rPr>
          <w:rFonts w:hint="eastAsia" w:ascii="Times New Roman" w:hAnsi="Times New Roman" w:eastAsia="仿宋_GB2312" w:cs="Times New Roman"/>
          <w:sz w:val="32"/>
          <w:szCs w:val="32"/>
          <w:lang w:val="en-US" w:eastAsia="zh-CN"/>
        </w:rPr>
        <w:t>谋划项目的</w:t>
      </w:r>
      <w:r>
        <w:rPr>
          <w:rFonts w:hint="default" w:ascii="Times New Roman" w:hAnsi="Times New Roman" w:eastAsia="仿宋_GB2312" w:cs="Times New Roman"/>
          <w:sz w:val="32"/>
          <w:szCs w:val="32"/>
          <w:lang w:val="en-US" w:eastAsia="zh-CN"/>
        </w:rPr>
        <w:t>建设内容及规模、建设成本、方案设计、建设进度计划等建设方面相关事项，协助进行项目可行性研究</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b w:val="0"/>
          <w:bCs w:val="0"/>
          <w:sz w:val="32"/>
          <w:szCs w:val="32"/>
          <w:highlight w:val="none"/>
          <w:lang w:val="en-US" w:eastAsia="zh-CN"/>
        </w:rPr>
        <w:t>负责对子公司谋划转储备项目可研进行意见收集及反馈</w:t>
      </w:r>
      <w:r>
        <w:rPr>
          <w:rFonts w:hint="default" w:ascii="仿宋_GB2312" w:hAnsi="仿宋_GB2312" w:eastAsia="仿宋_GB2312" w:cs="仿宋_GB2312"/>
          <w:b w:val="0"/>
          <w:bCs w:val="0"/>
          <w:sz w:val="32"/>
          <w:szCs w:val="32"/>
          <w:highlight w:val="none"/>
          <w:lang w:val="en-US" w:eastAsia="zh-CN"/>
        </w:rPr>
        <w:t>；负责</w:t>
      </w:r>
      <w:r>
        <w:rPr>
          <w:rFonts w:hint="eastAsia" w:ascii="仿宋_GB2312" w:hAnsi="仿宋_GB2312" w:eastAsia="仿宋_GB2312" w:cs="仿宋_GB2312"/>
          <w:b w:val="0"/>
          <w:bCs w:val="0"/>
          <w:sz w:val="32"/>
          <w:szCs w:val="32"/>
          <w:highlight w:val="none"/>
          <w:lang w:val="en-US" w:eastAsia="zh-CN"/>
        </w:rPr>
        <w:t>组织市投控公司项目谋划转储备专项评估会议</w:t>
      </w:r>
      <w:r>
        <w:rPr>
          <w:rFonts w:hint="default" w:ascii="仿宋_GB2312" w:hAnsi="仿宋_GB2312" w:eastAsia="仿宋_GB2312" w:cs="仿宋_GB2312"/>
          <w:b w:val="0"/>
          <w:bCs w:val="0"/>
          <w:sz w:val="32"/>
          <w:szCs w:val="32"/>
          <w:highlight w:val="none"/>
          <w:lang w:val="en-US" w:eastAsia="zh-CN"/>
        </w:rPr>
        <w:t>。</w:t>
      </w:r>
    </w:p>
    <w:p w14:paraId="04EBC2FA">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（二）企业管理部</w:t>
      </w:r>
    </w:p>
    <w:p w14:paraId="3A2C7987">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根据自身部门职能与分工，</w:t>
      </w:r>
      <w:r>
        <w:rPr>
          <w:rFonts w:hint="default" w:ascii="仿宋_GB2312" w:hAnsi="仿宋_GB2312" w:eastAsia="仿宋_GB2312" w:cs="仿宋_GB2312"/>
          <w:b w:val="0"/>
          <w:bCs w:val="0"/>
          <w:sz w:val="32"/>
          <w:szCs w:val="32"/>
          <w:highlight w:val="none"/>
          <w:lang w:val="en-US" w:eastAsia="zh-CN"/>
        </w:rPr>
        <w:t>在项目</w:t>
      </w:r>
      <w:r>
        <w:rPr>
          <w:rFonts w:hint="eastAsia" w:ascii="仿宋_GB2312" w:hAnsi="仿宋_GB2312" w:eastAsia="仿宋_GB2312" w:cs="仿宋_GB2312"/>
          <w:b w:val="0"/>
          <w:bCs w:val="0"/>
          <w:sz w:val="32"/>
          <w:szCs w:val="32"/>
          <w:highlight w:val="none"/>
          <w:lang w:val="en-US" w:eastAsia="zh-CN"/>
        </w:rPr>
        <w:t>谋划</w:t>
      </w:r>
      <w:r>
        <w:rPr>
          <w:rFonts w:hint="default" w:ascii="仿宋_GB2312" w:hAnsi="仿宋_GB2312" w:eastAsia="仿宋_GB2312" w:cs="仿宋_GB2312"/>
          <w:b w:val="0"/>
          <w:bCs w:val="0"/>
          <w:sz w:val="32"/>
          <w:szCs w:val="32"/>
          <w:highlight w:val="none"/>
          <w:lang w:val="en-US" w:eastAsia="zh-CN"/>
        </w:rPr>
        <w:t>过程中对</w:t>
      </w:r>
      <w:r>
        <w:rPr>
          <w:rFonts w:hint="eastAsia" w:ascii="仿宋_GB2312" w:hAnsi="仿宋_GB2312" w:eastAsia="仿宋_GB2312" w:cs="仿宋_GB2312"/>
          <w:b w:val="0"/>
          <w:bCs w:val="0"/>
          <w:sz w:val="32"/>
          <w:szCs w:val="32"/>
          <w:highlight w:val="none"/>
          <w:lang w:val="en-US" w:eastAsia="zh-CN"/>
        </w:rPr>
        <w:t>涉及子企业经营管理、资产处置及股权交易等方面的</w:t>
      </w:r>
      <w:r>
        <w:rPr>
          <w:rFonts w:hint="default" w:ascii="仿宋_GB2312" w:hAnsi="仿宋_GB2312" w:eastAsia="仿宋_GB2312" w:cs="仿宋_GB2312"/>
          <w:b w:val="0"/>
          <w:bCs w:val="0"/>
          <w:sz w:val="32"/>
          <w:szCs w:val="32"/>
          <w:highlight w:val="none"/>
          <w:lang w:val="en-US" w:eastAsia="zh-CN"/>
        </w:rPr>
        <w:t>相关事宜进行跟踪指导</w:t>
      </w:r>
      <w:r>
        <w:rPr>
          <w:rFonts w:hint="eastAsia" w:ascii="仿宋_GB2312" w:hAnsi="仿宋_GB2312" w:eastAsia="仿宋_GB2312" w:cs="仿宋_GB2312"/>
          <w:b w:val="0"/>
          <w:bCs w:val="0"/>
          <w:sz w:val="32"/>
          <w:szCs w:val="32"/>
          <w:highlight w:val="none"/>
          <w:lang w:val="en-US" w:eastAsia="zh-CN"/>
        </w:rPr>
        <w:t>，对子企业编制的可行性研究报告等材料进行审查并反馈意见，参加市投控公司谋划转储备评估会议并进行投票表决。</w:t>
      </w:r>
    </w:p>
    <w:p w14:paraId="0CB0822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（三）融资管理部</w:t>
      </w:r>
    </w:p>
    <w:p w14:paraId="1121A80A">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在项目</w:t>
      </w:r>
      <w:r>
        <w:rPr>
          <w:rFonts w:hint="eastAsia" w:ascii="仿宋_GB2312" w:hAnsi="仿宋_GB2312" w:eastAsia="仿宋_GB2312" w:cs="仿宋_GB2312"/>
          <w:b w:val="0"/>
          <w:bCs w:val="0"/>
          <w:sz w:val="32"/>
          <w:szCs w:val="32"/>
          <w:highlight w:val="none"/>
          <w:lang w:val="en-US" w:eastAsia="zh-CN"/>
        </w:rPr>
        <w:t>谋划</w:t>
      </w:r>
      <w:r>
        <w:rPr>
          <w:rFonts w:hint="default" w:ascii="仿宋_GB2312" w:hAnsi="仿宋_GB2312" w:eastAsia="仿宋_GB2312" w:cs="仿宋_GB2312"/>
          <w:b w:val="0"/>
          <w:bCs w:val="0"/>
          <w:sz w:val="32"/>
          <w:szCs w:val="32"/>
          <w:highlight w:val="none"/>
          <w:lang w:val="en-US" w:eastAsia="zh-CN"/>
        </w:rPr>
        <w:t>过程中对</w:t>
      </w:r>
      <w:r>
        <w:rPr>
          <w:rFonts w:hint="eastAsia" w:ascii="仿宋_GB2312" w:hAnsi="仿宋_GB2312" w:eastAsia="仿宋_GB2312" w:cs="仿宋_GB2312"/>
          <w:b w:val="0"/>
          <w:bCs w:val="0"/>
          <w:sz w:val="32"/>
          <w:szCs w:val="32"/>
          <w:highlight w:val="none"/>
          <w:lang w:val="en-US" w:eastAsia="zh-CN"/>
        </w:rPr>
        <w:t>子企业谋划项目的资金计划、融资方案等</w:t>
      </w:r>
      <w:r>
        <w:rPr>
          <w:rFonts w:hint="default" w:ascii="仿宋_GB2312" w:hAnsi="仿宋_GB2312" w:eastAsia="仿宋_GB2312" w:cs="仿宋_GB2312"/>
          <w:b w:val="0"/>
          <w:bCs w:val="0"/>
          <w:sz w:val="32"/>
          <w:szCs w:val="32"/>
          <w:highlight w:val="none"/>
          <w:lang w:val="en-US" w:eastAsia="zh-CN"/>
        </w:rPr>
        <w:t>相关事宜进行跟踪指导</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pacing w:val="0"/>
          <w:position w:val="0"/>
          <w:sz w:val="32"/>
          <w:szCs w:val="32"/>
          <w:lang w:val="en-US" w:eastAsia="zh-CN"/>
        </w:rPr>
        <w:t>负责分析</w:t>
      </w:r>
      <w:r>
        <w:rPr>
          <w:rFonts w:hint="eastAsia" w:ascii="Times New Roman" w:hAnsi="Times New Roman" w:eastAsia="仿宋_GB2312" w:cs="Times New Roman"/>
          <w:spacing w:val="0"/>
          <w:position w:val="0"/>
          <w:sz w:val="32"/>
          <w:szCs w:val="32"/>
          <w:lang w:val="en-US" w:eastAsia="zh-CN"/>
        </w:rPr>
        <w:t>项目的</w:t>
      </w:r>
      <w:r>
        <w:rPr>
          <w:rFonts w:hint="default" w:ascii="Times New Roman" w:hAnsi="Times New Roman" w:eastAsia="仿宋_GB2312" w:cs="Times New Roman"/>
          <w:spacing w:val="0"/>
          <w:position w:val="0"/>
          <w:sz w:val="32"/>
          <w:szCs w:val="32"/>
          <w:lang w:val="en-US" w:eastAsia="zh-CN"/>
        </w:rPr>
        <w:t>融资能力，协助进行项目资金渠道可行性研究</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根据部门职能范围对子企业编制的可行性研究报告等材料进行审查并反馈意见；参加市投控公司谋划转储备评估会议并进行表决。</w:t>
      </w:r>
    </w:p>
    <w:p w14:paraId="2B11CEF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（四）财务管理部</w:t>
      </w:r>
    </w:p>
    <w:p w14:paraId="68B5B448">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在项目</w:t>
      </w:r>
      <w:r>
        <w:rPr>
          <w:rFonts w:hint="eastAsia" w:ascii="仿宋_GB2312" w:hAnsi="仿宋_GB2312" w:eastAsia="仿宋_GB2312" w:cs="仿宋_GB2312"/>
          <w:b w:val="0"/>
          <w:bCs w:val="0"/>
          <w:sz w:val="32"/>
          <w:szCs w:val="32"/>
          <w:highlight w:val="none"/>
          <w:lang w:val="en-US" w:eastAsia="zh-CN"/>
        </w:rPr>
        <w:t>谋划</w:t>
      </w:r>
      <w:r>
        <w:rPr>
          <w:rFonts w:hint="default" w:ascii="仿宋_GB2312" w:hAnsi="仿宋_GB2312" w:eastAsia="仿宋_GB2312" w:cs="仿宋_GB2312"/>
          <w:b w:val="0"/>
          <w:bCs w:val="0"/>
          <w:sz w:val="32"/>
          <w:szCs w:val="32"/>
          <w:highlight w:val="none"/>
          <w:lang w:val="en-US" w:eastAsia="zh-CN"/>
        </w:rPr>
        <w:t>过程中对</w:t>
      </w:r>
      <w:r>
        <w:rPr>
          <w:rFonts w:hint="eastAsia" w:ascii="仿宋_GB2312" w:hAnsi="仿宋_GB2312" w:eastAsia="仿宋_GB2312" w:cs="仿宋_GB2312"/>
          <w:b w:val="0"/>
          <w:bCs w:val="0"/>
          <w:sz w:val="32"/>
          <w:szCs w:val="32"/>
          <w:highlight w:val="none"/>
          <w:lang w:val="en-US" w:eastAsia="zh-CN"/>
        </w:rPr>
        <w:t>子企业谋划项目的财务分析、税务成本控制等</w:t>
      </w:r>
      <w:r>
        <w:rPr>
          <w:rFonts w:hint="default" w:ascii="仿宋_GB2312" w:hAnsi="仿宋_GB2312" w:eastAsia="仿宋_GB2312" w:cs="仿宋_GB2312"/>
          <w:b w:val="0"/>
          <w:bCs w:val="0"/>
          <w:sz w:val="32"/>
          <w:szCs w:val="32"/>
          <w:highlight w:val="none"/>
          <w:lang w:val="en-US" w:eastAsia="zh-CN"/>
        </w:rPr>
        <w:t>相关事宜进行跟踪指导</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pacing w:val="0"/>
          <w:position w:val="0"/>
          <w:sz w:val="32"/>
          <w:szCs w:val="32"/>
          <w:lang w:val="en-US" w:eastAsia="zh-CN"/>
        </w:rPr>
        <w:t>参与项目</w:t>
      </w:r>
      <w:r>
        <w:rPr>
          <w:rFonts w:hint="eastAsia" w:ascii="Times New Roman" w:hAnsi="Times New Roman" w:eastAsia="仿宋_GB2312" w:cs="Times New Roman"/>
          <w:spacing w:val="0"/>
          <w:position w:val="0"/>
          <w:sz w:val="32"/>
          <w:szCs w:val="32"/>
          <w:lang w:val="en-US" w:eastAsia="zh-CN"/>
        </w:rPr>
        <w:t>投资</w:t>
      </w:r>
      <w:r>
        <w:rPr>
          <w:rFonts w:hint="default" w:ascii="Times New Roman" w:hAnsi="Times New Roman" w:eastAsia="仿宋_GB2312" w:cs="Times New Roman"/>
          <w:spacing w:val="0"/>
          <w:position w:val="0"/>
          <w:sz w:val="32"/>
          <w:szCs w:val="32"/>
          <w:lang w:val="en-US" w:eastAsia="zh-CN"/>
        </w:rPr>
        <w:t>效益审核</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根据部门职能范围对子企业编制的可行性研究报告等材料进行审查并反馈意见；参加市投控公司谋划转储备评估会议并进行表决。</w:t>
      </w:r>
    </w:p>
    <w:p w14:paraId="6E7852A7">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（五）审计合规部</w:t>
      </w:r>
    </w:p>
    <w:p w14:paraId="2322FB0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在项目</w:t>
      </w:r>
      <w:r>
        <w:rPr>
          <w:rFonts w:hint="eastAsia" w:ascii="仿宋_GB2312" w:hAnsi="仿宋_GB2312" w:eastAsia="仿宋_GB2312" w:cs="仿宋_GB2312"/>
          <w:b w:val="0"/>
          <w:bCs w:val="0"/>
          <w:sz w:val="32"/>
          <w:szCs w:val="32"/>
          <w:highlight w:val="none"/>
          <w:lang w:val="en-US" w:eastAsia="zh-CN"/>
        </w:rPr>
        <w:t>谋划</w:t>
      </w:r>
      <w:r>
        <w:rPr>
          <w:rFonts w:hint="default" w:ascii="仿宋_GB2312" w:hAnsi="仿宋_GB2312" w:eastAsia="仿宋_GB2312" w:cs="仿宋_GB2312"/>
          <w:b w:val="0"/>
          <w:bCs w:val="0"/>
          <w:sz w:val="32"/>
          <w:szCs w:val="32"/>
          <w:highlight w:val="none"/>
          <w:lang w:val="en-US" w:eastAsia="zh-CN"/>
        </w:rPr>
        <w:t>过程中对</w:t>
      </w:r>
      <w:r>
        <w:rPr>
          <w:rFonts w:hint="eastAsia" w:ascii="仿宋_GB2312" w:hAnsi="仿宋_GB2312" w:eastAsia="仿宋_GB2312" w:cs="仿宋_GB2312"/>
          <w:b w:val="0"/>
          <w:bCs w:val="0"/>
          <w:sz w:val="32"/>
          <w:szCs w:val="32"/>
          <w:highlight w:val="none"/>
          <w:lang w:val="en-US" w:eastAsia="zh-CN"/>
        </w:rPr>
        <w:t>子企业谋划项目的合规性等</w:t>
      </w:r>
      <w:r>
        <w:rPr>
          <w:rFonts w:hint="default" w:ascii="仿宋_GB2312" w:hAnsi="仿宋_GB2312" w:eastAsia="仿宋_GB2312" w:cs="仿宋_GB2312"/>
          <w:b w:val="0"/>
          <w:bCs w:val="0"/>
          <w:sz w:val="32"/>
          <w:szCs w:val="32"/>
          <w:highlight w:val="none"/>
          <w:lang w:val="en-US" w:eastAsia="zh-CN"/>
        </w:rPr>
        <w:t>相关事宜进行跟踪指导</w:t>
      </w:r>
      <w:r>
        <w:rPr>
          <w:rFonts w:hint="eastAsia" w:ascii="仿宋_GB2312" w:hAnsi="仿宋_GB2312" w:eastAsia="仿宋_GB2312" w:cs="仿宋_GB2312"/>
          <w:b w:val="0"/>
          <w:bCs w:val="0"/>
          <w:sz w:val="32"/>
          <w:szCs w:val="32"/>
          <w:highlight w:val="none"/>
          <w:lang w:val="en-US" w:eastAsia="zh-CN"/>
        </w:rPr>
        <w:t>；负责审查谋划项目的风险控制措施，</w:t>
      </w:r>
      <w:r>
        <w:rPr>
          <w:rFonts w:hint="default" w:ascii="Times New Roman" w:hAnsi="Times New Roman" w:eastAsia="仿宋_GB2312" w:cs="Times New Roman"/>
          <w:spacing w:val="0"/>
          <w:position w:val="0"/>
          <w:sz w:val="32"/>
          <w:szCs w:val="32"/>
          <w:lang w:val="en-US" w:eastAsia="zh-CN"/>
        </w:rPr>
        <w:t>并提出风险控制意见</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根据部门职能范围对子企业编制的可行性研究报告等材料进行审查并反馈意见；参加市投控公司谋划转储备评估会议并进行表决。</w:t>
      </w:r>
    </w:p>
    <w:p w14:paraId="4D4147C5">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（六）其他部门</w:t>
      </w:r>
    </w:p>
    <w:p w14:paraId="6AFFB21D">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市投控</w:t>
      </w:r>
      <w:r>
        <w:rPr>
          <w:rFonts w:hint="default" w:ascii="Times New Roman" w:hAnsi="Times New Roman" w:eastAsia="仿宋_GB2312" w:cs="Times New Roman"/>
          <w:spacing w:val="0"/>
          <w:position w:val="0"/>
          <w:sz w:val="32"/>
          <w:szCs w:val="32"/>
          <w:lang w:val="en-US" w:eastAsia="zh-CN"/>
        </w:rPr>
        <w:t>公司其他部门按</w:t>
      </w:r>
      <w:r>
        <w:rPr>
          <w:rFonts w:hint="eastAsia" w:ascii="Times New Roman" w:hAnsi="Times New Roman" w:eastAsia="仿宋_GB2312" w:cs="Times New Roman"/>
          <w:spacing w:val="0"/>
          <w:position w:val="0"/>
          <w:sz w:val="32"/>
          <w:szCs w:val="32"/>
          <w:lang w:val="en-US" w:eastAsia="zh-CN"/>
        </w:rPr>
        <w:t>其</w:t>
      </w:r>
      <w:r>
        <w:rPr>
          <w:rFonts w:hint="default" w:ascii="Times New Roman" w:hAnsi="Times New Roman" w:eastAsia="仿宋_GB2312" w:cs="Times New Roman"/>
          <w:spacing w:val="0"/>
          <w:position w:val="0"/>
          <w:sz w:val="32"/>
          <w:szCs w:val="32"/>
          <w:lang w:val="en-US" w:eastAsia="zh-CN"/>
        </w:rPr>
        <w:t>部门职能</w:t>
      </w:r>
      <w:r>
        <w:rPr>
          <w:rFonts w:hint="eastAsia" w:ascii="Times New Roman" w:hAnsi="Times New Roman" w:eastAsia="仿宋_GB2312" w:cs="Times New Roman"/>
          <w:spacing w:val="0"/>
          <w:position w:val="0"/>
          <w:sz w:val="32"/>
          <w:szCs w:val="32"/>
          <w:lang w:val="en-US" w:eastAsia="zh-CN"/>
        </w:rPr>
        <w:t>根据实际需要</w:t>
      </w:r>
      <w:r>
        <w:rPr>
          <w:rFonts w:hint="default" w:ascii="Times New Roman" w:hAnsi="Times New Roman" w:eastAsia="仿宋_GB2312" w:cs="Times New Roman"/>
          <w:spacing w:val="0"/>
          <w:position w:val="0"/>
          <w:sz w:val="32"/>
          <w:szCs w:val="32"/>
          <w:lang w:val="en-US" w:eastAsia="zh-CN"/>
        </w:rPr>
        <w:t>参与、协助和配合公司的</w:t>
      </w:r>
      <w:r>
        <w:rPr>
          <w:rFonts w:hint="eastAsia" w:ascii="Times New Roman" w:hAnsi="Times New Roman" w:eastAsia="仿宋_GB2312" w:cs="Times New Roman"/>
          <w:spacing w:val="0"/>
          <w:position w:val="0"/>
          <w:sz w:val="32"/>
          <w:szCs w:val="32"/>
          <w:lang w:val="en-US" w:eastAsia="zh-CN"/>
        </w:rPr>
        <w:t>项目谋划</w:t>
      </w:r>
      <w:r>
        <w:rPr>
          <w:rFonts w:hint="default" w:ascii="Times New Roman" w:hAnsi="Times New Roman" w:eastAsia="仿宋_GB2312" w:cs="Times New Roman"/>
          <w:spacing w:val="0"/>
          <w:position w:val="0"/>
          <w:sz w:val="32"/>
          <w:szCs w:val="32"/>
          <w:lang w:val="en-US" w:eastAsia="zh-CN"/>
        </w:rPr>
        <w:t>管理工作。</w:t>
      </w:r>
    </w:p>
    <w:p w14:paraId="3505EBA3">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pacing w:val="0"/>
          <w:position w:val="0"/>
          <w:sz w:val="32"/>
          <w:szCs w:val="32"/>
          <w:lang w:val="en-US" w:eastAsia="zh-CN"/>
        </w:rPr>
      </w:pPr>
    </w:p>
    <w:p w14:paraId="7B85446C">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pacing w:val="0"/>
          <w:position w:val="0"/>
          <w:sz w:val="32"/>
          <w:szCs w:val="32"/>
          <w:lang w:val="en-US" w:eastAsia="zh-CN"/>
        </w:rPr>
      </w:pP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C9E7">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BD2BB8B">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BD2BB8B">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4"/>
      <w:lvlText w:val="%1."/>
      <w:lvlJc w:val="left"/>
      <w:pPr>
        <w:tabs>
          <w:tab w:val="left" w:pos="420"/>
        </w:tabs>
        <w:ind w:left="425" w:leftChars="0" w:hanging="425" w:firstLineChars="0"/>
      </w:pPr>
      <w:rPr>
        <w:rFonts w:hint="default" w:ascii="Times New Roman" w:hAnsi="Times New Roman" w:eastAsia="仿宋_GB2312"/>
        <w:sz w:val="32"/>
        <w:szCs w:val="32"/>
      </w:rPr>
    </w:lvl>
  </w:abstractNum>
  <w:abstractNum w:abstractNumId="1">
    <w:nsid w:val="00000001"/>
    <w:multiLevelType w:val="singleLevel"/>
    <w:tmpl w:val="00000001"/>
    <w:lvl w:ilvl="0" w:tentative="0">
      <w:start w:val="1"/>
      <w:numFmt w:val="decimal"/>
      <w:pStyle w:val="5"/>
      <w:lvlText w:val="(%1)"/>
      <w:lvlJc w:val="left"/>
      <w:pPr>
        <w:ind w:left="425" w:hanging="425"/>
      </w:pPr>
      <w:rPr>
        <w:rFonts w:hint="default"/>
      </w:rPr>
    </w:lvl>
  </w:abstractNum>
  <w:abstractNum w:abstractNumId="2">
    <w:nsid w:val="00000003"/>
    <w:multiLevelType w:val="singleLevel"/>
    <w:tmpl w:val="00000003"/>
    <w:lvl w:ilvl="0" w:tentative="0">
      <w:start w:val="1"/>
      <w:numFmt w:val="chineseCounting"/>
      <w:pStyle w:val="3"/>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345C3"/>
    <w:rsid w:val="077E37DC"/>
    <w:rsid w:val="0B2B3C7B"/>
    <w:rsid w:val="0C57284E"/>
    <w:rsid w:val="0C711B61"/>
    <w:rsid w:val="104D44A7"/>
    <w:rsid w:val="12BF54A3"/>
    <w:rsid w:val="13533D6F"/>
    <w:rsid w:val="15510782"/>
    <w:rsid w:val="15F97C74"/>
    <w:rsid w:val="16133C89"/>
    <w:rsid w:val="166B13D0"/>
    <w:rsid w:val="17980500"/>
    <w:rsid w:val="19E33973"/>
    <w:rsid w:val="1AEB0D31"/>
    <w:rsid w:val="211538DA"/>
    <w:rsid w:val="22D4654E"/>
    <w:rsid w:val="24905F09"/>
    <w:rsid w:val="28C06F1E"/>
    <w:rsid w:val="2C1F6501"/>
    <w:rsid w:val="2E061E03"/>
    <w:rsid w:val="309537C1"/>
    <w:rsid w:val="30EC0F07"/>
    <w:rsid w:val="344C23E9"/>
    <w:rsid w:val="353F398F"/>
    <w:rsid w:val="37AA6461"/>
    <w:rsid w:val="38EF5E81"/>
    <w:rsid w:val="3A742699"/>
    <w:rsid w:val="45860405"/>
    <w:rsid w:val="45E00E3B"/>
    <w:rsid w:val="471A4E33"/>
    <w:rsid w:val="49E1317B"/>
    <w:rsid w:val="49F64E79"/>
    <w:rsid w:val="4A496B89"/>
    <w:rsid w:val="4C080E93"/>
    <w:rsid w:val="4DC91F90"/>
    <w:rsid w:val="548F2152"/>
    <w:rsid w:val="58E47563"/>
    <w:rsid w:val="5EC32653"/>
    <w:rsid w:val="61FC69E7"/>
    <w:rsid w:val="6B0845B4"/>
    <w:rsid w:val="705D3305"/>
    <w:rsid w:val="72F26881"/>
    <w:rsid w:val="735209E3"/>
    <w:rsid w:val="7C15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adjustRightInd w:val="0"/>
      <w:snapToGrid w:val="0"/>
      <w:spacing w:line="580" w:lineRule="exact"/>
      <w:outlineLvl w:val="0"/>
    </w:pPr>
    <w:rPr>
      <w:rFonts w:eastAsia="黑体"/>
      <w:kern w:val="44"/>
      <w:sz w:val="32"/>
    </w:rPr>
  </w:style>
  <w:style w:type="paragraph" w:styleId="3">
    <w:name w:val="heading 2"/>
    <w:basedOn w:val="1"/>
    <w:next w:val="1"/>
    <w:qFormat/>
    <w:uiPriority w:val="0"/>
    <w:pPr>
      <w:keepNext/>
      <w:keepLines/>
      <w:numPr>
        <w:ilvl w:val="0"/>
        <w:numId w:val="1"/>
      </w:numPr>
      <w:adjustRightInd w:val="0"/>
      <w:spacing w:beforeAutospacing="0" w:afterAutospacing="0" w:line="580" w:lineRule="exact"/>
      <w:ind w:left="0" w:leftChars="0"/>
      <w:outlineLvl w:val="1"/>
    </w:pPr>
    <w:rPr>
      <w:rFonts w:eastAsia="楷体"/>
    </w:rPr>
  </w:style>
  <w:style w:type="paragraph" w:styleId="4">
    <w:name w:val="heading 3"/>
    <w:basedOn w:val="1"/>
    <w:next w:val="1"/>
    <w:qFormat/>
    <w:uiPriority w:val="0"/>
    <w:pPr>
      <w:keepNext/>
      <w:keepLines/>
      <w:numPr>
        <w:ilvl w:val="0"/>
        <w:numId w:val="2"/>
      </w:numPr>
      <w:spacing w:beforeAutospacing="0" w:afterAutospacing="0" w:line="580" w:lineRule="exact"/>
      <w:ind w:left="1065" w:leftChars="200" w:firstLine="720" w:firstLineChars="200"/>
      <w:outlineLvl w:val="2"/>
    </w:pPr>
  </w:style>
  <w:style w:type="paragraph" w:styleId="5">
    <w:name w:val="heading 4"/>
    <w:basedOn w:val="1"/>
    <w:next w:val="1"/>
    <w:qFormat/>
    <w:uiPriority w:val="0"/>
    <w:pPr>
      <w:keepNext/>
      <w:keepLines/>
      <w:numPr>
        <w:ilvl w:val="0"/>
        <w:numId w:val="3"/>
      </w:numPr>
      <w:adjustRightInd w:val="0"/>
      <w:spacing w:beforeAutospacing="0" w:afterAutospacing="0" w:line="580" w:lineRule="exact"/>
      <w:ind w:left="0" w:leftChars="0"/>
      <w:outlineLvl w:val="3"/>
    </w:pPr>
    <w:rPr>
      <w:szCs w:val="32"/>
    </w:rPr>
  </w:style>
  <w:style w:type="character" w:default="1" w:styleId="10">
    <w:name w:val="Default Paragraph Font"/>
    <w:qFormat/>
    <w:uiPriority w:val="0"/>
    <w:rPr>
      <w:rFonts w:ascii="Times New Roman" w:hAnsi="Times New Roman" w:eastAsia="仿宋_GB2312"/>
      <w:sz w:val="32"/>
      <w:szCs w:val="32"/>
    </w:rPr>
  </w:style>
  <w:style w:type="table" w:default="1" w:styleId="9">
    <w:name w:val="Normal Table"/>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beforeAutospacing="0" w:after="60" w:afterAutospacing="0" w:line="700" w:lineRule="exact"/>
      <w:ind w:left="0" w:leftChars="0"/>
      <w:jc w:val="center"/>
      <w:outlineLvl w:val="0"/>
    </w:pPr>
    <w:rPr>
      <w:rFonts w:ascii="Arial" w:hAnsi="Arial" w:eastAsia="方正小标宋简体"/>
      <w:sz w:val="44"/>
    </w:rPr>
  </w:style>
  <w:style w:type="character" w:styleId="11">
    <w:name w:val="Strong"/>
    <w:basedOn w:val="10"/>
    <w:qFormat/>
    <w:uiPriority w:val="0"/>
    <w:rPr>
      <w:b/>
    </w:rPr>
  </w:style>
  <w:style w:type="paragraph" w:customStyle="1" w:styleId="12">
    <w:name w:val="公文"/>
    <w:basedOn w:val="8"/>
    <w:next w:val="1"/>
    <w:qFormat/>
    <w:uiPriority w:val="0"/>
    <w:rPr>
      <w:rFonts w:ascii="Cambria" w:hAnsi="Cambria" w:eastAsia="方正小标宋_GBK" w:cs="Times New Roman"/>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Kingsoft\WPS%20Office\12.1.0.22529\office6\file:\C:\Users\LENOVO\AppData\Roaming\kingsoft\office6\templates\wps\zh_CN\&#20844;&#259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公文.dotx</Template>
  <Pages>7</Pages>
  <Words>2703</Words>
  <Characters>2720</Characters>
  <Paragraphs>61</Paragraphs>
  <TotalTime>36</TotalTime>
  <ScaleCrop>false</ScaleCrop>
  <LinksUpToDate>false</LinksUpToDate>
  <CharactersWithSpaces>2722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2024-08-28T08:42:00Z</dcterms:created>
  <dc:creator>产控战投部陈尚骁</dc:creator>
  <cp:lastModifiedBy>Morning.</cp:lastModifiedBy>
  <cp:lastPrinted>2025-09-26T02:54:00Z</cp:lastPrinted>
  <dcterms:modified xsi:type="dcterms:W3CDTF">2025-11-21T09:00:45Z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4C170E6E51AD4443A165CC58C9062E07_13</vt:lpwstr>
  </property>
  <property fmtid="{D5CDD505-2E9C-101B-9397-08002B2CF9AE}" pid="4" name="KSOTemplateDocerSaveRecord">
    <vt:lpwstr>eyJoZGlkIjoiYWQzZWFiMjJkYWNlYjY5M2YwZDlkYmNkY2M2NmJlNTciLCJ1c2VySWQiOiIyNTQ0OTc5NTIifQ==</vt:lpwstr>
  </property>
</Properties>
</file>